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Ревматология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обратилась к врачу-ревматологу.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мелких суставах кистей, которые в большей степени беспокоят по утрам и во вторую половину ночи, отечность в указанных суставах, утреннюю скованность в мелких суставах кистей около часа.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– около 2 лет, впервые возникли после родов. Грудное вскармливание окончено. Ранее обращалась к терапевту, но из-за грудного вскармливания терапия не проводилась, и было принято решение дообследование и старт терапии отложить.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имела;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– атеросклероз, мать - здорова.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168 см, масса тела 57 кг. ИМТ 20,2. Кожные покровы обычной окраски и влажности. Периферических отеков нет. Дыхание везикулярное, ЧДД 16 в 1 мин. Тоны сердца ритмичные, ЧСС 78 в 1 мин, АД 110/70 мм рт. ст. Живот мягкий, безболезненный. Печень по краю реберной дуги.</w:t>
      </w:r>
    </w:p>
    <w:p>
      <w:pPr>
        <w:spacing w:after="58"/>
      </w:pPr>
      <w:r>
        <w:rPr>
          <w:b w:val="0"/>
          <w:i w:val="0"/>
        </w:rPr>
        <w:t>При пальпации суставов определяется болезненность и припухлость в области проксимальных межфаланговых, пястнофаланговых, лучезапястных суставов, всего 10 болезненных суставов, 9 припухших. Симптом поперечного сжатия кистей положительный. Оценка активности заболевания по ВАШ – 60 мм.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для установления диагноза и определения его стадии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уровня антистрептолизина-О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антител к циклическому цитруллинированному полипептиду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мочевой кислоты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клинический анализ крови; 3 — определение уровня С-реактивного белка; 4 — определение уровня ревматоидного фактора; 5 — определение уровня антител к циклическому цитруллинированному полипептиду</w:t>
      </w:r>
    </w:p>
    <w:p>
      <w:pPr>
        <w:ind w:left="504"/>
      </w:pPr>
      <w:r>
        <w:rPr>
          <w:b w:val="0"/>
          <w:i/>
        </w:rPr>
        <w:t>Общий (клинический) анализ крови развернутый и исследование уровня СРБ в сыворотке крови количественным методом рекомендуется всем пациентам с целью проведения дифференциальной диагностики с невоспалительными заболеваниями суставов и оценки активности воспаления.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Исследование уровня С-реактивного белка проводится всем пациентам с подозрением на ревматоидный артрит. Повышение уровня С-реактивного белка является одним из классификационных критериев ревматоидного артрита ACR/EULAR 2010 года.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Определение содержания антител к циклическому цитруллиновому пептиду (анти-ССР) в крови (АЦЦП), определение содержания РФ в крови рекомендуется всем пациентам с целью диагностики заболевания.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Определение содержания антител к циклическому цитруллиновому пептиду (анти-ССР) в крови (АЦЦП), определение содержания РФ в крови рекомендуется всем пациентам с целью диагностики заболевания.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исследованиям для определения отсутствия противопоказаний к началу терапии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крестцово-подвздошных сочленений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уровня общего холестерина и его фракций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уровня гликемии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обследование на гепатиты В, С, сифилис, ВИЧ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рентгенография органов грудной клетки; 5 — биохимический анализ крови; 6 — обследование на гепатиты В, С, сифилис, ВИЧ</w:t>
      </w:r>
    </w:p>
    <w:p>
      <w:pPr>
        <w:ind w:left="504"/>
      </w:pPr>
      <w:r>
        <w:rPr>
          <w:b w:val="0"/>
          <w:i/>
        </w:rPr>
        <w:t>Прицельную рентгенографию органов грудной клетки рекомендуется проводить всем пациентам с ревматоидным артритом с целью выявления ревматоидного поражения органов дыхания и сопутствующих заболеваний лёгких при первичном обследовании и затем ежегодно (более частое проведение возможно при наличии клинических показаний).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выявления противопоказаний, потенциальных факторов риска развития нежелательных лекарственных реакций перед назначением противоревматической терапии всем пациентам с ревматоидным артритом рекомендуется проводить анализ крови биохимический общетерапевтический.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Наличие активного инфекционного процесса является противопоказанием к началу терапии ревматоидного артрита основными болезнь-модифицирующими препаратами.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Количество баллов, согласно классификационным критериям ревматоидного артрита ACR/EULAR 2010 года, в данном случае равно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</w:t>
      </w:r>
    </w:p>
    <w:p>
      <w:pPr>
        <w:ind w:left="504"/>
      </w:pPr>
      <w:r>
        <w:rPr>
          <w:b w:val="0"/>
          <w:i/>
        </w:rPr>
        <w:t>Классификационные критерии ревматоидного артрита ACR/EULAR 2010 года являются количественными, где за каждый определенный признак дается то или иное количество баллов.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клинико-лабораторных проявлений заболевания, диагноз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Форестье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Системный остеопороз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Системная склеродермия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Серопозитивный ревматоидный артрит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Серопозитивный ревматоидный артрит</w:t>
      </w:r>
    </w:p>
    <w:p>
      <w:pPr>
        <w:ind w:left="504"/>
      </w:pPr>
      <w:r>
        <w:rPr>
          <w:b w:val="0"/>
          <w:i/>
        </w:rPr>
        <w:t>Характерными признаками ревматоидного артрита являются: увеличение уровня СОЭ, С-реактивного белка, ревматоидного фактора, антител к циклическому цитруллинированному полипептиду, характерной рентгенологической картиной (околосуставной остеопороз, множественные кистовидные просветления костной ткани, сужение суставных щелей, единичные эрозии). Диагноз выставлен на основании классификационных критериев ревматоидного артрита ACR/EULAR 2010 года.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Активность заболевания соответствует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умеренной активности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ремиссии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высокой активности</w:t>
      </w:r>
    </w:p>
    <w:p>
      <w:pPr>
        <w:ind w:left="504"/>
      </w:pPr>
      <w:r>
        <w:rPr>
          <w:b w:val="0"/>
          <w:i/>
        </w:rPr>
        <w:t>Для оценки активности заболевания используется калькулятор DAS28. DAS28 – 6,41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Терапию заболевания следует начинать с основного болезнь-модифицирующего препарата, которым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ритуксимаб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метотрексат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нимесулид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метотрексат</w:t>
      </w:r>
    </w:p>
    <w:p>
      <w:pPr>
        <w:ind w:left="504"/>
      </w:pPr>
      <w:r>
        <w:rPr>
          <w:b w:val="0"/>
          <w:i/>
        </w:rPr>
        <w:t>Метотрексат рекомендуется всем пациентам с диагнозом РА, как препарат «первой линии» терапии.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учетом высокой активности заболевания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бридж-терапии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санаторно-курортного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комбинированной терапии метотрексатом и лефлуномидом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терапии ритуксимабом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бридж-терапии глюкокортикостероидами</w:t>
      </w:r>
    </w:p>
    <w:p>
      <w:pPr>
        <w:ind w:left="504"/>
      </w:pPr>
      <w:r>
        <w:rPr>
          <w:b w:val="0"/>
          <w:i/>
        </w:rPr>
        <w:t>Рекомендуется проводить лечение глюкокортикоидами в комбинации с метотрексатом (или другими БПВП) при раннем ревматоидном артрите у пациентов с высокой активностью заболевания в течение времени, необходимого для развития эффекта БПВП (bridge-терапия).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Выявленные изменения расценены как побочный эффект от приема метотрексата, называемое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тромбоцитопении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лейкопении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тромбоцитопении</w:t>
      </w:r>
    </w:p>
    <w:p>
      <w:pPr>
        <w:ind w:left="504"/>
      </w:pPr>
      <w:r>
        <w:rPr>
          <w:b w:val="0"/>
          <w:i/>
        </w:rPr>
        <w:t>Применение метотрексата может привести к развитию гематологических нарушений, к которым относится тромбоцитопения.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Пациентке проведена смена терапии с метотрексата на лефлуномид. Доза препарата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мг/неделю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 мг/сутки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 мг/сутки</w:t>
      </w:r>
    </w:p>
    <w:p>
      <w:pPr>
        <w:ind w:left="504"/>
      </w:pPr>
      <w:r>
        <w:rPr>
          <w:b w:val="0"/>
          <w:i/>
        </w:rPr>
        <w:t>Доза лефлуномида составляет 20 мг/сутки.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Таким образом, активность заболевания расценена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ремиссия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ремиссия</w:t>
      </w:r>
    </w:p>
    <w:p>
      <w:pPr>
        <w:ind w:left="504"/>
      </w:pPr>
      <w:r>
        <w:rPr>
          <w:b w:val="0"/>
          <w:i/>
        </w:rPr>
        <w:t>Для оценки активности заболевания используется калькулятор DAS28. DAS28 – 1,39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достижения ремиссии пациентке рекомендован осмотр ревматолога с периодичностью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 в 6 месяцев</w:t>
      </w:r>
    </w:p>
    <w:p>
      <w:pPr>
        <w:ind w:left="504"/>
      </w:pPr>
      <w:r>
        <w:rPr>
          <w:b w:val="0"/>
          <w:i/>
        </w:rPr>
        <w:t>После достижения ремиссии пациентам с ревматоидным артритом рекомендуется осмотр раз в 6 месяцев.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год пациентка обратилась на повторную консультацию перед планированием беременности. Активность заболевания соответствует ремиссии. Для усиления выведения лефлуномида проводят процедуру отмывания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мельдонием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холестирамином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цитофлавином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активированным углем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холестирамином</w:t>
      </w:r>
    </w:p>
    <w:p>
      <w:pPr>
        <w:ind w:left="504"/>
      </w:pPr>
      <w:r>
        <w:rPr>
          <w:b w:val="0"/>
          <w:i/>
        </w:rPr>
        <w:t>Рекомендуется отменить лефлуномид при планировании беременности. Учитывая длительную (до 2 лет) циркуляцию активных метаболитов лефлуномида, для усиления его выведения проводят процедуру отмывания холестирамином с последующим назначением альтернативного лекарственного средства, совместимого с беременностью.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52 лет обратился в поликлинику к врачу-ревматологу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припухание и боль в левом голеностопном суставе,</w:t>
        <w:br/>
        <w:t>*</w:t>
        <w:tab/>
        <w:t>припухание и боль в мелких суставах правой стопы,</w:t>
        <w:br/>
        <w:t>*</w:t>
        <w:tab/>
        <w:t>покраснение кожи над этими же суставами, ограничение движений в них,</w:t>
        <w:br/>
        <w:t>*</w:t>
        <w:tab/>
        <w:t>боли в поясничной области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</w:t>
        <w:tab/>
        <w:t>Страдает внезапными приступами болей в суставах правой стопы около 10 лет, когда впервые на фоне относительного благополучия ночью появились интенсивные боли в правом голеностопном суставе и первых плюснефаланговых суставах. Одновременно было обнаружено припухание, покраснение и повышение кожной температуры в области поражения. Самостоятельный прием анальгетиков привел к значительному уменьшению болевого синдрома и восстановлению функции суставов. В последующем было замечено, что после праздничных застолий или интенсивной физической работы, охлаждения развивается артрит голеностопного, первых плюснефаланговых суставов, а затем коленного сустава. Пациент знает о своей болезни, однако постоянной терапии не принимает.</w:t>
        <w:br/>
        <w:t>*</w:t>
        <w:tab/>
        <w:t>Боль в области левого голеностопного сустава присоединилась в течение последних 6 месяцев. Периодически при ходьбе, особенно по неровной поверхности, в области поражённых суставов отмечается хруст.</w:t>
        <w:br/>
        <w:t>*</w:t>
        <w:tab/>
        <w:t>Месяц назад отмечал эпизод болей в поясничной области, боли купировались самостоятельно.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 и развивался нормально.</w:t>
        <w:br/>
        <w:t>*</w:t>
        <w:tab/>
        <w:t>Перенесенные заболевания и операции: нет.</w:t>
        <w:br/>
        <w:t>*</w:t>
        <w:tab/>
        <w:t>Наследственность не отягощена.</w:t>
        <w:br/>
        <w:t>*</w:t>
        <w:tab/>
        <w:t>Вредные привычки: курит, часто употребляет алкоголь.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Телосложение правильное, повышенного питания</w:t>
        <w:br/>
        <w:t>*</w:t>
        <w:tab/>
        <w:t>Рост – 180 см, вес – 115 кг, ИМТ – 35 кг/м2.</w:t>
        <w:br/>
        <w:t>*</w:t>
        <w:tab/>
        <w:t>Кожные покровы чистые, достаточной влажности. Тургор тканей сохранен.</w:t>
        <w:br/>
        <w:t>*</w:t>
        <w:tab/>
        <w:t>В области хрящевой части ушных раковин пальпируются безболезненные плотные образования величиной 0,3 х 0,2 см, белесоватые на изгибе.</w:t>
        <w:br/>
        <w:t>*</w:t>
        <w:tab/>
        <w:t>Границы относительной тупости сердца расширены влево на 1 см. Тоны сердца чистые, ритм правильный, ЧСС 62 в минуту, АД 150/95 мм рт. ст. Дыхание везикулярное, хрипов нет. Живот увеличен в объёме за счет подкожно жировой клетчатки, при пальпации мягкий, безболезненный. Печень у края реберной дуги, безболезненная при пальпации, селезенка не пальпируется. Реагирует на поколачивание по поясничной области слева. Отеков нет.</w:t>
        <w:br/>
        <w:t>*</w:t>
        <w:tab/>
        <w:t>Отмечаются костные деформации в области 1-го и 2-го плюснефаланговых суставов обеих стоп с формированием hallus valgus, сочетающиеся с припухлостью, покраснением кожи и повышением местной температуры над этими же суставами.</w:t>
        <w:br/>
        <w:t>*</w:t>
        <w:tab/>
        <w:t>Симптом бокового сжатия правой стопы - положительный. Незначительное ограничение движений 1-го и 2-го пальцев правой стопы. Левый голеностопный сустав припухший, горячий и резко болезненный при пальпации, кожа гиперемирована. Объем активных и пассивных движений в нем ограничен из-за боли.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7743139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6b39d21e32b42fa06ceac1e152acc8658bb2157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7431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1.jpg</w:t>
      </w:r>
    </w:p>
    <w:p>
      <w:r>
        <w:drawing>
          <wp:inline xmlns:a="http://schemas.openxmlformats.org/drawingml/2006/main" xmlns:pic="http://schemas.openxmlformats.org/drawingml/2006/picture">
            <wp:extent cx="5303520" cy="4022880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75d2c386c0045dd1fb56e44ea772922c449e2e4.pn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22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2jpg.png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суточной урикозурии и исследование общего анализа мочи с микроскопией осадка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концентрации креатинина и мочевины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сывороточного уровня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содержимого тофусов методом поляризационной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клинический анализ крови и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ионизированного кальция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определение сывороточного уровня мочевой кислоты; 4 — определение содержимого тофусов методом поляризационной микроскопии</w:t>
      </w:r>
    </w:p>
    <w:p>
      <w:pPr>
        <w:ind w:left="504"/>
      </w:pPr>
      <w:r>
        <w:rPr>
          <w:b w:val="0"/>
          <w:i/>
        </w:rPr>
        <w:t>У всех пациентов с подозрением на наличие подагры рекомендуется определять сывороточный уровень мочевой кислоты.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всем пациентам для постановки определенного диагноза подагры выявление кристаллов моноурата натрия в синовиальной жидкости или в содержимом тофуса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 томография левого голеностопного сустава и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дистальных отделов стоп (ДОС) и голеностопных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(МРТ) поясничного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обзорная рентгенография области почек и мочеточников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рентгенография коленных суставов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ультразвуковое исследование почек; 3 — рентгенография дистальных отделов стоп (ДОС) и голеностопных суставов</w:t>
      </w:r>
    </w:p>
    <w:p>
      <w:pPr>
        <w:ind w:left="504"/>
      </w:pPr>
      <w:r>
        <w:rPr>
          <w:b w:val="0"/>
          <w:i/>
        </w:rPr>
        <w:t>УЗИ почек, если не проводилось в течение последних 6 месяцев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Выполнение рентгенографии вполне оправдано для проведения дифференциального диагноза с травмами, другими заболеваниями костно-мышечной системы и т.д. Формирование внутрикостных тофусов часто происходит одновременно с подкожными тофусами, поэтому рентгенологическое исследование используется и для определения тяжести тофусного поражения.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данные клинико-лабораторных и инструментальных исследований,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Подострая саркоидозная артропатия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Хроническая тофусная 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подагрический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Глубокая флегмона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Хроническая тофусная подагра</w:t>
      </w:r>
    </w:p>
    <w:p>
      <w:pPr>
        <w:ind w:left="504"/>
      </w:pPr>
      <w:r>
        <w:rPr>
          <w:b w:val="0"/>
          <w:i/>
        </w:rPr>
        <w:t>На основании классификационных критериев диагностики подагры ACR/EULAR, 2015 (ACR – American College of Rheumatology (Американский колледж ревматологии) /EULAR– European League Against Rheumatism (Европейская Антиревматическая Лига)</w:t>
        <w:br/>
        <w:t>выделяют клинические критерии:</w:t>
        <w:br/>
        <w:br/>
        <w:t>- эпизоды типичных симптомов с вовлечением суставов;</w:t>
        <w:br/>
        <w:t>- лабораторные критерии</w:t>
        <w:br/>
        <w:br/>
        <w:t>*</w:t>
        <w:tab/>
        <w:t>сывороточный уровень мочевой кислоты</w:t>
        <w:br/>
        <w:t>*</w:t>
        <w:tab/>
        <w:t>обнаружены кристаллы моноурата натрия</w:t>
        <w:br/>
        <w:t>- методы визуализации</w:t>
        <w:br/>
        <w:t xml:space="preserve">       * визуальные признаки депозитов уратов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Внесуставным проявлением основного заболевания у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сахарный диабет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уратный нефролитиаз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нефролитиаз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туннельный синдром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уратный нефролитиаз</w:t>
      </w:r>
    </w:p>
    <w:p>
      <w:pPr>
        <w:ind w:left="504"/>
      </w:pPr>
      <w:r>
        <w:rPr>
          <w:b w:val="0"/>
          <w:i/>
        </w:rPr>
        <w:t>По данным УЗИ почек осложнение подагры – нефролитиаз.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остром приступе данного заболевания с учетом сопутствующей патологии пациенту показан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канакинумаб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фебуксостат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бензбромарон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аллопуринол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канакинумаб</w:t>
      </w:r>
    </w:p>
    <w:p>
      <w:pPr>
        <w:ind w:left="504"/>
      </w:pPr>
      <w:r>
        <w:rPr>
          <w:b w:val="0"/>
          <w:i/>
        </w:rPr>
        <w:t>Эффективность канакинумаба при купировании приступа артрита при подагре превышает таковую у триамцинолона ацетонида и колхицина. Учитывая большой период полувыведения и длительность эффекта, после купирования артрита целесообразно инициировать назначение уратснижающей терапии.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длительного лечения пациенту рекомендуется проведение коррекции максимальной дозы аллопуринола в зависимости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уровня протеинурии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сывороточного уровня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концентрации мочевины и креатинина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скорости клубочковой 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скорости клубочковой фильтрации</w:t>
      </w:r>
    </w:p>
    <w:p>
      <w:pPr>
        <w:ind w:left="504"/>
      </w:pPr>
      <w:r>
        <w:rPr>
          <w:b w:val="0"/>
          <w:i/>
        </w:rPr>
        <w:t>У пациентов с нарушением функции почек рекомендуется проведение коррекции максимальной дозы аллопуринола в зависимости от скорости клубочковой фильтрации.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Индикатором эффективности лечения у данного больного является снижение концентрации мочевой кислоты до +______+ мкмоль/л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300</w:t>
      </w:r>
    </w:p>
    <w:p>
      <w:pPr>
        <w:ind w:left="504"/>
      </w:pPr>
      <w:r>
        <w:rPr>
          <w:b w:val="0"/>
          <w:i/>
        </w:rPr>
        <w:t>У пациентов с тяжелой тофусной подагрой предполагается снижение</w:t>
        <w:br/>
        <w:t>порогового значения мочевой кислоты сыворотки до более низкого (300 мкмоль/л), так как в этом случае наблюдается почти линейная обратная зависимость между сывороточным уровнем мочевой кислоты и скоростью рассасывания тофусов.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недостаточном эффекте аллопуринола, невозможности достижения целевого уровня мочевой кислоты или развитии нежелательных явлений больному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канакинумаб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фебуксостат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парекоксиб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колхицин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фебуксостат</w:t>
      </w:r>
    </w:p>
    <w:p>
      <w:pPr>
        <w:ind w:left="504"/>
      </w:pPr>
      <w:r>
        <w:rPr>
          <w:b w:val="0"/>
          <w:i/>
        </w:rPr>
        <w:t>В случае развития нежелательных реакций, связанных с применением аллопуринола, а также при недостижении целевого уровня мочевой кислоты в сыворотки крови при применении максимально допустимых доз аллопуринола, рекомендуется назначение других ингибиторов ксантиноксидазы (фебуксостат).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развитии гастропатии препаратом выбора, облегчающим суставную боль,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напроксен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кетопрофен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кеторолак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целекоксиб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целекоксиб</w:t>
      </w:r>
    </w:p>
    <w:p>
      <w:pPr>
        <w:ind w:left="504"/>
      </w:pPr>
      <w:r>
        <w:rPr>
          <w:b w:val="0"/>
          <w:i/>
        </w:rPr>
        <w:t>Наиболее безопасным в плане развития любой патологии верхних (желудок, двенадцатиперстной кишки) и нижележащих отделов желудочно-кишечного тракта (тонкая кишка) является целекоксиб.</w:t>
        <w:br/>
        <w:br/>
      </w:r>
      <w:hyperlink r:id="rId53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показаний к уратснижающей терапии аллопуринол рекомендовано назначать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исходно низкой дозе (50-100 мг ежедневно) с последующим увеличением (при необходимости) по 100 мг каждые две-четыре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в низких дозах (50-100 мг ежедневно)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исходно низкой дозе (50-100 мг ежедневно) с последующим увеличением  по 100 мг через день до дозы 900 мг 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максимальной суточной дозы (900 мг ежедневно) с последующим снижением по 100 мг каждые две-четыре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исходно низкой дозе (50-100 мг ежедневно) с последующим увеличением (при необходимости) по 100 мг каждые две-четыре недели</w:t>
      </w:r>
    </w:p>
    <w:p>
      <w:pPr>
        <w:ind w:left="504"/>
      </w:pPr>
      <w:r>
        <w:rPr>
          <w:b w:val="0"/>
          <w:i/>
        </w:rPr>
        <w:t>Рекомендуется назначение препарата в исходно низкой дозе (50-100 мг ежедневно) с последующим увеличением (при необходимости) по 100 мг каждые две-четыре недели, что особенно важно у пациентов с почечной недостаточностью.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питании таких пациентов следует отдать предпочтение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богатым пуринами продуктам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морепродуктам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продуктам с повышенным содержанием фруктозы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молочным продуктам с низким содержанием жира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молочным продуктам с низким содержанием жира</w:t>
      </w:r>
    </w:p>
    <w:p>
      <w:pPr>
        <w:ind w:left="504"/>
      </w:pPr>
      <w:r>
        <w:rPr>
          <w:b w:val="0"/>
          <w:i/>
        </w:rPr>
        <w:t>Диета, обогащенная молочными продуктами с низким содержанием жира, приводит к снижению сывороточного уровня мочевой кислоты и частоты приступов артрита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антигипертензивной терапии у данного пациента следует предпочесть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клофелина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гидрохлоротиазида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лозартана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фуросемида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лозартана</w:t>
      </w:r>
    </w:p>
    <w:p>
      <w:pPr>
        <w:ind w:left="504"/>
      </w:pPr>
      <w:r>
        <w:rPr>
          <w:b w:val="0"/>
          <w:i/>
        </w:rPr>
        <w:t>Доказательства наличия у отдельных препаратов (лозартан, блокаторы кальциевых каналов, фенофибрат и, в меньшей степени, ингибиторов ГМГ-КоА-редуктазы) дополнительного уратснижающего эффекта, позволяет применять их у больных с подагрой при имеющихся показаниях к назначению, в том числе, в комбинации с ингибиторами ксантиноксидазы (аллопуринол, фебуксостат).</w:t>
        <w:br/>
        <w:br/>
      </w:r>
      <w:hyperlink r:id="rId4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Ревматология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250_3/" TargetMode="External"/><Relationship Id="rId24" Type="http://schemas.openxmlformats.org/officeDocument/2006/relationships/hyperlink" Target="https://library.mededtech.ru/rest/documents/250_3/#list_item_a7btfb" TargetMode="External"/><Relationship Id="rId25" Type="http://schemas.openxmlformats.org/officeDocument/2006/relationships/hyperlink" Target="https://library.mededtech.ru/rest/documents/250_3/#list_item_f8jnj6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250_3/#list_item_4eruls" TargetMode="External"/><Relationship Id="rId28" Type="http://schemas.openxmlformats.org/officeDocument/2006/relationships/hyperlink" Target="https://library.mededtech.ru/rest/documents/250_3/#list_item_i32qqb" TargetMode="External"/><Relationship Id="rId29" Type="http://schemas.openxmlformats.org/officeDocument/2006/relationships/hyperlink" Target="https://library.mededtech.ru/rest/documents/250_3/#list_item_437t64" TargetMode="External"/><Relationship Id="rId30" Type="http://schemas.openxmlformats.org/officeDocument/2006/relationships/hyperlink" Target="https://library.mededtech.ru/rest/documents/250_3/#prilg1" TargetMode="External"/><Relationship Id="rId31" Type="http://schemas.openxmlformats.org/officeDocument/2006/relationships/hyperlink" Target="https://library.mededtech.ru/rest/documents/250_3/#paragraph_8p05n1" TargetMode="External"/><Relationship Id="rId32" Type="http://schemas.openxmlformats.org/officeDocument/2006/relationships/hyperlink" Target="https://library.mededtech.ru/rest/documents/250_3/#list_item_f3ju4r" TargetMode="External"/><Relationship Id="rId33" Type="http://schemas.openxmlformats.org/officeDocument/2006/relationships/hyperlink" Target="https://library.mededtech.ru/rest/documents/250_3/#list_item_b3c2ho" TargetMode="External"/><Relationship Id="rId34" Type="http://schemas.openxmlformats.org/officeDocument/2006/relationships/hyperlink" Target="https://library.mededtech.ru/rest/documents/250_3/#table_mp16kf" TargetMode="External"/><Relationship Id="rId35" Type="http://schemas.openxmlformats.org/officeDocument/2006/relationships/hyperlink" Target="https://library.mededtech.ru/rest/documents/250_3/#list_item_6fe1ma" TargetMode="External"/><Relationship Id="rId36" Type="http://schemas.openxmlformats.org/officeDocument/2006/relationships/hyperlink" Target="https://library.mededtech.ru/rest/documents/250_3/#list_item_9cfmsb" TargetMode="External"/><Relationship Id="rId37" Type="http://schemas.openxmlformats.org/officeDocument/2006/relationships/image" Target="media/image9.png"/><Relationship Id="rId38" Type="http://schemas.openxmlformats.org/officeDocument/2006/relationships/hyperlink" Target="https://library.mededtech.ru/rest/documents/250_3/#list_item_3i7obu" TargetMode="External"/><Relationship Id="rId39" Type="http://schemas.openxmlformats.org/officeDocument/2006/relationships/hyperlink" Target="https://library.mededtech.ru/rest/documents/250_3/#table_eg6iig" TargetMode="External"/><Relationship Id="rId40" Type="http://schemas.openxmlformats.org/officeDocument/2006/relationships/image" Target="media/image10.jpg"/><Relationship Id="rId41" Type="http://schemas.openxmlformats.org/officeDocument/2006/relationships/image" Target="media/image11.png"/><Relationship Id="rId42" Type="http://schemas.openxmlformats.org/officeDocument/2006/relationships/image" Target="media/image12.png"/><Relationship Id="rId43" Type="http://schemas.openxmlformats.org/officeDocument/2006/relationships/hyperlink" Target="https://library.mededtech.ru/rest/documents/cr_174/" TargetMode="External"/><Relationship Id="rId44" Type="http://schemas.openxmlformats.org/officeDocument/2006/relationships/hyperlink" Target="https://library.mededtech.ru/rest/documents/cr_174/#list_item_nannd" TargetMode="External"/><Relationship Id="rId45" Type="http://schemas.openxmlformats.org/officeDocument/2006/relationships/hyperlink" Target="https://library.mededtech.ru/rest/documents/cr_174/#list_item_652hh" TargetMode="External"/><Relationship Id="rId46" Type="http://schemas.openxmlformats.org/officeDocument/2006/relationships/hyperlink" Target="https://library.mededtech.ru/rest/documents/cr_174/#tab3" TargetMode="External"/><Relationship Id="rId47" Type="http://schemas.openxmlformats.org/officeDocument/2006/relationships/hyperlink" Target="https://library.mededtech.ru/rest/documents/cr_174/#paragraph_6hjjq" TargetMode="External"/><Relationship Id="rId48" Type="http://schemas.openxmlformats.org/officeDocument/2006/relationships/hyperlink" Target="https://library.mededtech.ru/rest/documents/cr_174/#tab1" TargetMode="External"/><Relationship Id="rId49" Type="http://schemas.openxmlformats.org/officeDocument/2006/relationships/hyperlink" Target="https://library.mededtech.ru/rest/documents/cr_174/#paragraph_q8ie2" TargetMode="External"/><Relationship Id="rId50" Type="http://schemas.openxmlformats.org/officeDocument/2006/relationships/hyperlink" Target="https://library.mededtech.ru/rest/documents/cr_174/#paragraph_0f2uj" TargetMode="External"/><Relationship Id="rId51" Type="http://schemas.openxmlformats.org/officeDocument/2006/relationships/hyperlink" Target="https://library.mededtech.ru/rest/documents/cr_174/#list_item_7agns" TargetMode="External"/><Relationship Id="rId52" Type="http://schemas.openxmlformats.org/officeDocument/2006/relationships/hyperlink" Target="https://library.mededtech.ru/rest/documents/cr_174/#list_item_0j5k5" TargetMode="External"/><Relationship Id="rId53" Type="http://schemas.openxmlformats.org/officeDocument/2006/relationships/hyperlink" Target="https://library.mededtech.ru/rest/documents/rekomenlaciinpvpkarateevx_21/" TargetMode="External"/><Relationship Id="rId54" Type="http://schemas.openxmlformats.org/officeDocument/2006/relationships/hyperlink" Target="https://library.mededtech.ru/rest/documents/rekomenlaciinpvpkarateevx_21/#paragraph_dtn9a7" TargetMode="External"/><Relationship Id="rId55" Type="http://schemas.openxmlformats.org/officeDocument/2006/relationships/hyperlink" Target="https://library.mededtech.ru/rest/documents/cr_174/#list_item_7orse" TargetMode="External"/><Relationship Id="rId56" Type="http://schemas.openxmlformats.org/officeDocument/2006/relationships/hyperlink" Target="https://library.mededtech.ru/rest/documents/cr_174/#paragraph_s1n0f1" TargetMode="External"/><Relationship Id="rId57" Type="http://schemas.openxmlformats.org/officeDocument/2006/relationships/hyperlink" Target="https://library.mededtech.ru/rest/documents/cr_174/#paragraph_o8si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